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0D6" w:rsidRPr="001240D6" w:rsidRDefault="001240D6" w:rsidP="001240D6">
      <w:pPr>
        <w:jc w:val="center"/>
        <w:rPr>
          <w:sz w:val="20"/>
          <w:szCs w:val="20"/>
        </w:rPr>
      </w:pPr>
      <w:r>
        <w:rPr>
          <w:noProof/>
        </w:rPr>
        <w:drawing>
          <wp:inline distT="0" distB="0" distL="0" distR="0">
            <wp:extent cx="3701667" cy="1586429"/>
            <wp:effectExtent l="0" t="0" r="0" b="0"/>
            <wp:docPr id="1" name="Picture 1" descr="C:\Users\Owner\AppData\Local\Microsoft\Windows\Temporary Internet Files\Content.Word\Senior 4 ba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Senior 4 ball 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9403" cy="1598316"/>
                    </a:xfrm>
                    <a:prstGeom prst="rect">
                      <a:avLst/>
                    </a:prstGeom>
                    <a:noFill/>
                    <a:ln>
                      <a:noFill/>
                    </a:ln>
                  </pic:spPr>
                </pic:pic>
              </a:graphicData>
            </a:graphic>
          </wp:inline>
        </w:drawing>
      </w:r>
    </w:p>
    <w:p w:rsidR="001240D6" w:rsidRDefault="001240D6" w:rsidP="00465366">
      <w:pPr>
        <w:jc w:val="center"/>
        <w:rPr>
          <w:i/>
          <w:sz w:val="20"/>
          <w:szCs w:val="20"/>
        </w:rPr>
      </w:pPr>
    </w:p>
    <w:p w:rsidR="00465366" w:rsidRDefault="00465366" w:rsidP="00465366">
      <w:pPr>
        <w:jc w:val="center"/>
        <w:rPr>
          <w:i/>
          <w:sz w:val="20"/>
          <w:szCs w:val="20"/>
        </w:rPr>
      </w:pPr>
      <w:r>
        <w:rPr>
          <w:i/>
          <w:sz w:val="20"/>
          <w:szCs w:val="20"/>
        </w:rPr>
        <w:t>(This Notice to Players Supplements any information on the MGA Hard card)</w:t>
      </w:r>
    </w:p>
    <w:p w:rsidR="00465366" w:rsidRDefault="00465366" w:rsidP="00465366">
      <w:pPr>
        <w:jc w:val="center"/>
        <w:rPr>
          <w:rFonts w:cs="Tahoma"/>
          <w:b/>
          <w:bCs w:val="0"/>
          <w:sz w:val="20"/>
          <w:szCs w:val="20"/>
          <w:u w:val="single"/>
        </w:rPr>
      </w:pPr>
    </w:p>
    <w:p w:rsidR="00FE16C5" w:rsidRDefault="00FE16C5" w:rsidP="00465366">
      <w:pPr>
        <w:jc w:val="center"/>
        <w:rPr>
          <w:rFonts w:cs="Tahoma"/>
          <w:b/>
          <w:bCs w:val="0"/>
          <w:sz w:val="20"/>
          <w:szCs w:val="20"/>
          <w:u w:val="single"/>
        </w:rPr>
      </w:pPr>
    </w:p>
    <w:p w:rsidR="00465366" w:rsidRPr="00FE16C5" w:rsidRDefault="00465366" w:rsidP="00465366">
      <w:pPr>
        <w:rPr>
          <w:rFonts w:ascii="Times New Roman" w:hAnsi="Times New Roman"/>
          <w:bCs w:val="0"/>
          <w:sz w:val="20"/>
          <w:szCs w:val="20"/>
        </w:rPr>
      </w:pPr>
      <w:r w:rsidRPr="00FE16C5">
        <w:rPr>
          <w:rFonts w:ascii="Times New Roman" w:hAnsi="Times New Roman"/>
          <w:b/>
          <w:bCs w:val="0"/>
          <w:sz w:val="20"/>
          <w:szCs w:val="20"/>
          <w:u w:val="single"/>
        </w:rPr>
        <w:t>Teeing Grounds:</w:t>
      </w:r>
      <w:r w:rsidRPr="00FE16C5">
        <w:rPr>
          <w:rFonts w:ascii="Times New Roman" w:hAnsi="Times New Roman"/>
          <w:bCs w:val="0"/>
          <w:sz w:val="20"/>
          <w:szCs w:val="20"/>
        </w:rPr>
        <w:t xml:space="preserve"> The following will be the applicable teeing grounds for the Championship: </w:t>
      </w:r>
    </w:p>
    <w:p w:rsidR="00465366" w:rsidRPr="00FE16C5" w:rsidRDefault="00465366" w:rsidP="00465366">
      <w:pPr>
        <w:rPr>
          <w:rFonts w:ascii="Times New Roman" w:hAnsi="Times New Roman"/>
          <w:b/>
          <w:bCs w:val="0"/>
          <w:sz w:val="20"/>
          <w:szCs w:val="20"/>
        </w:rPr>
      </w:pPr>
      <w:r w:rsidRPr="00FE16C5">
        <w:rPr>
          <w:rFonts w:ascii="Times New Roman" w:hAnsi="Times New Roman"/>
          <w:bCs w:val="0"/>
          <w:sz w:val="20"/>
          <w:szCs w:val="20"/>
        </w:rPr>
        <w:t xml:space="preserve">All NET FLIGHT PLAY will be from the </w:t>
      </w:r>
      <w:r w:rsidR="0006556B">
        <w:rPr>
          <w:rFonts w:ascii="Times New Roman" w:hAnsi="Times New Roman"/>
          <w:b/>
          <w:bCs w:val="0"/>
          <w:sz w:val="20"/>
          <w:szCs w:val="20"/>
        </w:rPr>
        <w:t xml:space="preserve">WHITE  </w:t>
      </w:r>
      <w:bookmarkStart w:id="0" w:name="_GoBack"/>
      <w:bookmarkEnd w:id="0"/>
      <w:r w:rsidR="0006556B">
        <w:rPr>
          <w:rFonts w:ascii="Times New Roman" w:hAnsi="Times New Roman"/>
          <w:b/>
          <w:bCs w:val="0"/>
          <w:sz w:val="20"/>
          <w:szCs w:val="20"/>
        </w:rPr>
        <w:t>TEES</w:t>
      </w:r>
    </w:p>
    <w:p w:rsidR="00465366" w:rsidRPr="00FE16C5" w:rsidRDefault="00465366" w:rsidP="00465366">
      <w:pPr>
        <w:rPr>
          <w:rFonts w:ascii="Times New Roman" w:hAnsi="Times New Roman"/>
          <w:b/>
          <w:bCs w:val="0"/>
          <w:sz w:val="20"/>
          <w:szCs w:val="20"/>
        </w:rPr>
      </w:pPr>
      <w:r w:rsidRPr="00FE16C5">
        <w:rPr>
          <w:rFonts w:ascii="Times New Roman" w:hAnsi="Times New Roman"/>
          <w:bCs w:val="0"/>
          <w:sz w:val="20"/>
          <w:szCs w:val="20"/>
        </w:rPr>
        <w:t xml:space="preserve">All CHAMPIONSHIP FLIGHT play will be from the </w:t>
      </w:r>
      <w:r w:rsidRPr="00FE16C5">
        <w:rPr>
          <w:rFonts w:ascii="Times New Roman" w:hAnsi="Times New Roman"/>
          <w:b/>
          <w:bCs w:val="0"/>
          <w:sz w:val="20"/>
          <w:szCs w:val="20"/>
        </w:rPr>
        <w:t>BLUE TEES</w:t>
      </w:r>
    </w:p>
    <w:p w:rsidR="00465366" w:rsidRPr="00FE16C5" w:rsidRDefault="00465366" w:rsidP="00465366">
      <w:pPr>
        <w:rPr>
          <w:rFonts w:ascii="Times New Roman" w:hAnsi="Times New Roman"/>
          <w:b/>
          <w:bCs w:val="0"/>
          <w:sz w:val="20"/>
          <w:szCs w:val="20"/>
        </w:rPr>
      </w:pPr>
    </w:p>
    <w:p w:rsidR="00465366" w:rsidRPr="00FE16C5" w:rsidRDefault="00465366" w:rsidP="00465366">
      <w:pPr>
        <w:rPr>
          <w:rFonts w:ascii="Times New Roman" w:hAnsi="Times New Roman"/>
          <w:bCs w:val="0"/>
          <w:sz w:val="20"/>
          <w:szCs w:val="20"/>
        </w:rPr>
      </w:pPr>
      <w:r w:rsidRPr="00FE16C5">
        <w:rPr>
          <w:rFonts w:ascii="Times New Roman" w:hAnsi="Times New Roman"/>
          <w:b/>
          <w:bCs w:val="0"/>
          <w:sz w:val="20"/>
          <w:szCs w:val="20"/>
          <w:u w:val="single"/>
        </w:rPr>
        <w:t>Scoring</w:t>
      </w:r>
      <w:r w:rsidRPr="00FE16C5">
        <w:rPr>
          <w:rFonts w:ascii="Times New Roman" w:hAnsi="Times New Roman"/>
          <w:b/>
          <w:bCs w:val="0"/>
          <w:sz w:val="20"/>
          <w:szCs w:val="20"/>
        </w:rPr>
        <w:t xml:space="preserve">:  </w:t>
      </w:r>
      <w:r w:rsidRPr="00FE16C5">
        <w:rPr>
          <w:rFonts w:ascii="Times New Roman" w:hAnsi="Times New Roman"/>
          <w:bCs w:val="0"/>
          <w:sz w:val="20"/>
          <w:szCs w:val="20"/>
        </w:rPr>
        <w:t xml:space="preserve">The marker is required to record for each hole only the </w:t>
      </w:r>
      <w:r w:rsidRPr="00FE16C5">
        <w:rPr>
          <w:rFonts w:ascii="Times New Roman" w:hAnsi="Times New Roman"/>
          <w:b/>
          <w:bCs w:val="0"/>
          <w:sz w:val="20"/>
          <w:szCs w:val="20"/>
          <w:u w:val="single"/>
        </w:rPr>
        <w:t>gross score</w:t>
      </w:r>
      <w:r w:rsidRPr="00FE16C5">
        <w:rPr>
          <w:rFonts w:ascii="Times New Roman" w:hAnsi="Times New Roman"/>
          <w:bCs w:val="0"/>
          <w:sz w:val="20"/>
          <w:szCs w:val="20"/>
        </w:rPr>
        <w:t xml:space="preserve"> of whichever partners score is to count.  The gross score to count must be individually identifiable: otherwise the side is disqualified.</w:t>
      </w:r>
    </w:p>
    <w:p w:rsidR="00465366" w:rsidRPr="00FE16C5" w:rsidRDefault="00465366" w:rsidP="00465366">
      <w:pPr>
        <w:rPr>
          <w:rFonts w:ascii="Times New Roman" w:hAnsi="Times New Roman"/>
          <w:b/>
          <w:sz w:val="20"/>
          <w:szCs w:val="20"/>
          <w:u w:val="single"/>
        </w:rPr>
      </w:pPr>
    </w:p>
    <w:p w:rsidR="001240D6" w:rsidRPr="00FE16C5" w:rsidRDefault="001240D6" w:rsidP="001240D6">
      <w:pPr>
        <w:rPr>
          <w:rFonts w:ascii="Times New Roman" w:hAnsi="Times New Roman"/>
          <w:bCs w:val="0"/>
          <w:sz w:val="20"/>
          <w:szCs w:val="20"/>
        </w:rPr>
      </w:pPr>
      <w:r w:rsidRPr="00FE16C5">
        <w:rPr>
          <w:rFonts w:ascii="Times New Roman" w:hAnsi="Times New Roman"/>
          <w:b/>
          <w:sz w:val="20"/>
          <w:szCs w:val="20"/>
          <w:u w:val="single"/>
        </w:rPr>
        <w:t>Out of Bounds:</w:t>
      </w:r>
      <w:r w:rsidRPr="00FE16C5">
        <w:rPr>
          <w:rFonts w:ascii="Times New Roman" w:hAnsi="Times New Roman"/>
          <w:bCs w:val="0"/>
          <w:sz w:val="20"/>
          <w:szCs w:val="20"/>
        </w:rPr>
        <w:t xml:space="preserve"> Defined by the inside points, at ground level, of white stakes, except as follows: </w:t>
      </w:r>
    </w:p>
    <w:p w:rsidR="001240D6" w:rsidRPr="00FE16C5" w:rsidRDefault="001240D6" w:rsidP="001240D6">
      <w:pPr>
        <w:widowControl w:val="0"/>
        <w:numPr>
          <w:ilvl w:val="0"/>
          <w:numId w:val="2"/>
        </w:numPr>
        <w:overflowPunct w:val="0"/>
        <w:autoSpaceDE w:val="0"/>
        <w:autoSpaceDN w:val="0"/>
        <w:adjustRightInd w:val="0"/>
        <w:rPr>
          <w:rFonts w:ascii="Times New Roman" w:hAnsi="Times New Roman"/>
          <w:bCs w:val="0"/>
          <w:sz w:val="20"/>
          <w:szCs w:val="20"/>
        </w:rPr>
      </w:pPr>
      <w:r w:rsidRPr="00FE16C5">
        <w:rPr>
          <w:rFonts w:ascii="Times New Roman" w:hAnsi="Times New Roman"/>
          <w:bCs w:val="0"/>
          <w:sz w:val="20"/>
          <w:szCs w:val="20"/>
        </w:rPr>
        <w:t>the outside face (golf course side) of the stockade fence is the boundary left of 2</w:t>
      </w:r>
      <w:r w:rsidRPr="00FE16C5">
        <w:rPr>
          <w:rFonts w:ascii="Times New Roman" w:hAnsi="Times New Roman"/>
          <w:bCs w:val="0"/>
          <w:sz w:val="20"/>
          <w:szCs w:val="20"/>
          <w:vertAlign w:val="superscript"/>
        </w:rPr>
        <w:t>nd</w:t>
      </w:r>
      <w:r w:rsidRPr="00FE16C5">
        <w:rPr>
          <w:rFonts w:ascii="Times New Roman" w:hAnsi="Times New Roman"/>
          <w:bCs w:val="0"/>
          <w:sz w:val="20"/>
          <w:szCs w:val="20"/>
        </w:rPr>
        <w:t xml:space="preserve"> Teeing Ground, the 4</w:t>
      </w:r>
      <w:r w:rsidRPr="00FE16C5">
        <w:rPr>
          <w:rFonts w:ascii="Times New Roman" w:hAnsi="Times New Roman"/>
          <w:bCs w:val="0"/>
          <w:sz w:val="20"/>
          <w:szCs w:val="20"/>
          <w:vertAlign w:val="superscript"/>
        </w:rPr>
        <w:t>th</w:t>
      </w:r>
      <w:r w:rsidRPr="00FE16C5">
        <w:rPr>
          <w:rFonts w:ascii="Times New Roman" w:hAnsi="Times New Roman"/>
          <w:bCs w:val="0"/>
          <w:sz w:val="20"/>
          <w:szCs w:val="20"/>
        </w:rPr>
        <w:t xml:space="preserve"> Teeing Ground, and the 14</w:t>
      </w:r>
      <w:r w:rsidRPr="00FE16C5">
        <w:rPr>
          <w:rFonts w:ascii="Times New Roman" w:hAnsi="Times New Roman"/>
          <w:bCs w:val="0"/>
          <w:sz w:val="20"/>
          <w:szCs w:val="20"/>
          <w:vertAlign w:val="superscript"/>
        </w:rPr>
        <w:t>th</w:t>
      </w:r>
      <w:r w:rsidRPr="00FE16C5">
        <w:rPr>
          <w:rFonts w:ascii="Times New Roman" w:hAnsi="Times New Roman"/>
          <w:bCs w:val="0"/>
          <w:sz w:val="20"/>
          <w:szCs w:val="20"/>
        </w:rPr>
        <w:t xml:space="preserve"> Teeing Ground; </w:t>
      </w:r>
    </w:p>
    <w:p w:rsidR="001240D6" w:rsidRPr="00FE16C5" w:rsidRDefault="001240D6" w:rsidP="001240D6">
      <w:pPr>
        <w:widowControl w:val="0"/>
        <w:numPr>
          <w:ilvl w:val="0"/>
          <w:numId w:val="2"/>
        </w:numPr>
        <w:overflowPunct w:val="0"/>
        <w:autoSpaceDE w:val="0"/>
        <w:autoSpaceDN w:val="0"/>
        <w:adjustRightInd w:val="0"/>
        <w:rPr>
          <w:rFonts w:ascii="Times New Roman" w:hAnsi="Times New Roman"/>
          <w:bCs w:val="0"/>
          <w:sz w:val="20"/>
          <w:szCs w:val="20"/>
        </w:rPr>
      </w:pPr>
      <w:r w:rsidRPr="00FE16C5">
        <w:rPr>
          <w:rFonts w:ascii="Times New Roman" w:hAnsi="Times New Roman"/>
          <w:bCs w:val="0"/>
          <w:sz w:val="20"/>
          <w:szCs w:val="20"/>
        </w:rPr>
        <w:t>the white line on cart path and curbing to the left and behind of the 9</w:t>
      </w:r>
      <w:r w:rsidRPr="00FE16C5">
        <w:rPr>
          <w:rFonts w:ascii="Times New Roman" w:hAnsi="Times New Roman"/>
          <w:bCs w:val="0"/>
          <w:sz w:val="20"/>
          <w:szCs w:val="20"/>
          <w:vertAlign w:val="superscript"/>
        </w:rPr>
        <w:t>th</w:t>
      </w:r>
      <w:r w:rsidR="0006556B">
        <w:rPr>
          <w:rFonts w:ascii="Times New Roman" w:hAnsi="Times New Roman"/>
          <w:bCs w:val="0"/>
          <w:sz w:val="20"/>
          <w:szCs w:val="20"/>
        </w:rPr>
        <w:t xml:space="preserve"> Putting Green; </w:t>
      </w:r>
      <w:r w:rsidRPr="00FE16C5">
        <w:rPr>
          <w:rFonts w:ascii="Times New Roman" w:hAnsi="Times New Roman"/>
          <w:bCs w:val="0"/>
          <w:sz w:val="20"/>
          <w:szCs w:val="20"/>
        </w:rPr>
        <w:t xml:space="preserve"> left of Hole 14; behind 15</w:t>
      </w:r>
      <w:r w:rsidRPr="00FE16C5">
        <w:rPr>
          <w:rFonts w:ascii="Times New Roman" w:hAnsi="Times New Roman"/>
          <w:bCs w:val="0"/>
          <w:sz w:val="20"/>
          <w:szCs w:val="20"/>
          <w:vertAlign w:val="superscript"/>
        </w:rPr>
        <w:t>th</w:t>
      </w:r>
      <w:r w:rsidRPr="00FE16C5">
        <w:rPr>
          <w:rFonts w:ascii="Times New Roman" w:hAnsi="Times New Roman"/>
          <w:bCs w:val="0"/>
          <w:sz w:val="20"/>
          <w:szCs w:val="20"/>
        </w:rPr>
        <w:t xml:space="preserve"> Putting Green and left of and behind the 18</w:t>
      </w:r>
      <w:r w:rsidRPr="00FE16C5">
        <w:rPr>
          <w:rFonts w:ascii="Times New Roman" w:hAnsi="Times New Roman"/>
          <w:bCs w:val="0"/>
          <w:sz w:val="20"/>
          <w:szCs w:val="20"/>
          <w:vertAlign w:val="superscript"/>
        </w:rPr>
        <w:t>th</w:t>
      </w:r>
      <w:r w:rsidRPr="00FE16C5">
        <w:rPr>
          <w:rFonts w:ascii="Times New Roman" w:hAnsi="Times New Roman"/>
          <w:bCs w:val="0"/>
          <w:sz w:val="20"/>
          <w:szCs w:val="20"/>
        </w:rPr>
        <w:t xml:space="preserve"> Putting Green. </w:t>
      </w:r>
    </w:p>
    <w:p w:rsidR="001240D6" w:rsidRPr="00FE16C5" w:rsidRDefault="001240D6" w:rsidP="001240D6">
      <w:pPr>
        <w:rPr>
          <w:rFonts w:ascii="Times New Roman" w:hAnsi="Times New Roman"/>
          <w:bCs w:val="0"/>
          <w:sz w:val="20"/>
          <w:szCs w:val="20"/>
        </w:rPr>
      </w:pPr>
      <w:r w:rsidRPr="00FE16C5">
        <w:rPr>
          <w:rFonts w:ascii="Times New Roman" w:hAnsi="Times New Roman"/>
          <w:bCs w:val="0"/>
          <w:sz w:val="20"/>
          <w:szCs w:val="20"/>
        </w:rPr>
        <w:t xml:space="preserve">In some instances the boundary is defined by a white line; in those instances the line itself is Out of Bounds.  </w:t>
      </w:r>
      <w:proofErr w:type="gramStart"/>
      <w:r w:rsidRPr="00FE16C5">
        <w:rPr>
          <w:rFonts w:ascii="Times New Roman" w:hAnsi="Times New Roman"/>
          <w:bCs w:val="0"/>
          <w:sz w:val="20"/>
          <w:szCs w:val="20"/>
        </w:rPr>
        <w:t>Rule 27-1.</w:t>
      </w:r>
      <w:proofErr w:type="gramEnd"/>
    </w:p>
    <w:p w:rsidR="007362F2" w:rsidRPr="00FE16C5" w:rsidRDefault="007362F2" w:rsidP="007362F2">
      <w:pPr>
        <w:spacing w:after="200" w:line="276" w:lineRule="auto"/>
        <w:rPr>
          <w:rFonts w:ascii="Times New Roman" w:eastAsia="Calibri" w:hAnsi="Times New Roman"/>
          <w:bCs w:val="0"/>
          <w:sz w:val="20"/>
          <w:szCs w:val="20"/>
          <w:lang w:bidi="en-US"/>
        </w:rPr>
      </w:pPr>
      <w:r w:rsidRPr="00FE16C5">
        <w:rPr>
          <w:rFonts w:ascii="Times New Roman" w:eastAsia="Calibri" w:hAnsi="Times New Roman"/>
          <w:b/>
          <w:bCs w:val="0"/>
          <w:sz w:val="20"/>
          <w:szCs w:val="20"/>
          <w:u w:val="single"/>
          <w:lang w:bidi="en-US"/>
        </w:rPr>
        <w:t>Flower Beds</w:t>
      </w:r>
      <w:r w:rsidRPr="00FE16C5">
        <w:rPr>
          <w:rFonts w:ascii="Times New Roman" w:eastAsia="Calibri" w:hAnsi="Times New Roman"/>
          <w:bCs w:val="0"/>
          <w:sz w:val="20"/>
          <w:szCs w:val="20"/>
          <w:lang w:bidi="en-US"/>
        </w:rPr>
        <w:t xml:space="preserve"> – If there is interference with the lie of the ball, the stance or area of intended swing by any planted flower bed or anything growing therein, relief without penalty is mandatory.  Proceed under provisions of Rule 25-1 for relief from an abnormal ground condition.  The stone steps behind #10 green in the flower bed are deemed to be part of the flower bed.</w:t>
      </w:r>
    </w:p>
    <w:p w:rsidR="007362F2" w:rsidRPr="00FE16C5" w:rsidRDefault="007362F2" w:rsidP="007362F2">
      <w:pPr>
        <w:spacing w:after="200" w:line="276" w:lineRule="auto"/>
        <w:rPr>
          <w:rFonts w:ascii="Times New Roman" w:eastAsia="Calibri" w:hAnsi="Times New Roman"/>
          <w:bCs w:val="0"/>
          <w:sz w:val="20"/>
          <w:szCs w:val="20"/>
          <w:lang w:bidi="en-US"/>
        </w:rPr>
      </w:pPr>
      <w:r w:rsidRPr="00FE16C5">
        <w:rPr>
          <w:rFonts w:ascii="Times New Roman" w:eastAsia="Calibri" w:hAnsi="Times New Roman"/>
          <w:b/>
          <w:bCs w:val="0"/>
          <w:sz w:val="20"/>
          <w:szCs w:val="20"/>
          <w:u w:val="single"/>
          <w:lang w:bidi="en-US"/>
        </w:rPr>
        <w:t>Lateral Water Hazard behind Hole #13 Green</w:t>
      </w:r>
      <w:r w:rsidRPr="00FE16C5">
        <w:rPr>
          <w:rFonts w:ascii="Times New Roman" w:eastAsia="Calibri" w:hAnsi="Times New Roman"/>
          <w:bCs w:val="0"/>
          <w:sz w:val="20"/>
          <w:szCs w:val="20"/>
          <w:lang w:bidi="en-US"/>
        </w:rPr>
        <w:t xml:space="preserve"> – For a ball that lies in the lateral water hazard behind #13 green, as an additional option to those under Rule 26, the player may, under penalty of one stroke, drop a ball in the nearer of two drop areas located on either side of the Green.</w:t>
      </w:r>
    </w:p>
    <w:p w:rsidR="007362F2" w:rsidRPr="00FE16C5" w:rsidRDefault="007362F2" w:rsidP="007362F2">
      <w:pPr>
        <w:spacing w:after="200" w:line="276" w:lineRule="auto"/>
        <w:rPr>
          <w:rFonts w:ascii="Times New Roman" w:eastAsia="Calibri" w:hAnsi="Times New Roman"/>
          <w:bCs w:val="0"/>
          <w:sz w:val="20"/>
          <w:szCs w:val="20"/>
          <w:lang w:bidi="en-US"/>
        </w:rPr>
      </w:pPr>
      <w:r w:rsidRPr="00FE16C5">
        <w:rPr>
          <w:rFonts w:ascii="Times New Roman" w:eastAsia="Calibri" w:hAnsi="Times New Roman"/>
          <w:bCs w:val="0"/>
          <w:sz w:val="20"/>
          <w:szCs w:val="20"/>
          <w:lang w:bidi="en-US"/>
        </w:rPr>
        <w:t xml:space="preserve">Note:  If a ball lies in the flowerbeds inside the lateral water hazard, this is a protected </w:t>
      </w:r>
      <w:proofErr w:type="gramStart"/>
      <w:r w:rsidRPr="00FE16C5">
        <w:rPr>
          <w:rFonts w:ascii="Times New Roman" w:eastAsia="Calibri" w:hAnsi="Times New Roman"/>
          <w:bCs w:val="0"/>
          <w:sz w:val="20"/>
          <w:szCs w:val="20"/>
          <w:lang w:bidi="en-US"/>
        </w:rPr>
        <w:t>are</w:t>
      </w:r>
      <w:r w:rsidR="0006556B">
        <w:rPr>
          <w:rFonts w:ascii="Times New Roman" w:eastAsia="Calibri" w:hAnsi="Times New Roman"/>
          <w:bCs w:val="0"/>
          <w:sz w:val="20"/>
          <w:szCs w:val="20"/>
          <w:lang w:bidi="en-US"/>
        </w:rPr>
        <w:t xml:space="preserve">a </w:t>
      </w:r>
      <w:r w:rsidRPr="00FE16C5">
        <w:rPr>
          <w:rFonts w:ascii="Times New Roman" w:eastAsia="Calibri" w:hAnsi="Times New Roman"/>
          <w:bCs w:val="0"/>
          <w:sz w:val="20"/>
          <w:szCs w:val="20"/>
          <w:lang w:bidi="en-US"/>
        </w:rPr>
        <w:t xml:space="preserve"> from</w:t>
      </w:r>
      <w:proofErr w:type="gramEnd"/>
      <w:r w:rsidRPr="00FE16C5">
        <w:rPr>
          <w:rFonts w:ascii="Times New Roman" w:eastAsia="Calibri" w:hAnsi="Times New Roman"/>
          <w:bCs w:val="0"/>
          <w:sz w:val="20"/>
          <w:szCs w:val="20"/>
          <w:lang w:bidi="en-US"/>
        </w:rPr>
        <w:t xml:space="preserve"> which play is prohibited.  The player may not play from this area and must take relief under Rule 26-1 or proceed to the drop area.</w:t>
      </w:r>
    </w:p>
    <w:p w:rsidR="007362F2" w:rsidRPr="00FE16C5" w:rsidRDefault="007362F2" w:rsidP="007362F2">
      <w:pPr>
        <w:spacing w:after="200" w:line="276" w:lineRule="auto"/>
        <w:rPr>
          <w:rFonts w:ascii="Times New Roman" w:hAnsi="Times New Roman"/>
          <w:sz w:val="20"/>
          <w:szCs w:val="20"/>
        </w:rPr>
      </w:pPr>
      <w:r w:rsidRPr="00FE16C5">
        <w:rPr>
          <w:rFonts w:ascii="Times New Roman" w:eastAsia="Calibri" w:hAnsi="Times New Roman"/>
          <w:b/>
          <w:bCs w:val="0"/>
          <w:sz w:val="20"/>
          <w:szCs w:val="20"/>
          <w:u w:val="single"/>
          <w:lang w:bidi="en-US"/>
        </w:rPr>
        <w:t xml:space="preserve">Status of fans near Hole #3 and Hole #5 greens – </w:t>
      </w:r>
      <w:r w:rsidRPr="00FE16C5">
        <w:rPr>
          <w:rFonts w:ascii="Times New Roman" w:eastAsia="Calibri" w:hAnsi="Times New Roman"/>
          <w:bCs w:val="0"/>
          <w:sz w:val="20"/>
          <w:szCs w:val="20"/>
          <w:lang w:bidi="en-US"/>
        </w:rPr>
        <w:t xml:space="preserve">These fans located adjacent to some of the greens have been declared to be “Temporary Immovable Obstructions” or TIO’s.  </w:t>
      </w:r>
    </w:p>
    <w:p w:rsidR="00465366" w:rsidRPr="00FE16C5" w:rsidRDefault="00465366" w:rsidP="00465366">
      <w:pPr>
        <w:rPr>
          <w:rFonts w:ascii="Times New Roman" w:hAnsi="Times New Roman"/>
          <w:sz w:val="20"/>
          <w:szCs w:val="20"/>
        </w:rPr>
      </w:pPr>
      <w:r w:rsidRPr="00FE16C5">
        <w:rPr>
          <w:rFonts w:ascii="Times New Roman" w:hAnsi="Times New Roman"/>
          <w:b/>
          <w:sz w:val="20"/>
          <w:szCs w:val="20"/>
          <w:u w:val="single"/>
        </w:rPr>
        <w:t>Discontinuance of Play:</w:t>
      </w:r>
      <w:r w:rsidRPr="00FE16C5">
        <w:rPr>
          <w:rFonts w:ascii="Times New Roman" w:hAnsi="Times New Roman"/>
          <w:sz w:val="20"/>
          <w:szCs w:val="20"/>
        </w:rPr>
        <w:t xml:space="preserve"> Note under Rule 6-8b and the Optional Condition set forth in Appendix I of the USGA Rules of Golf shall be in effect.  All practice areas shall be closed during suspension for a dangerous situation until the Committee has declared them open.  </w:t>
      </w:r>
    </w:p>
    <w:p w:rsidR="00465366" w:rsidRPr="00FE16C5" w:rsidRDefault="00465366" w:rsidP="00465366">
      <w:pPr>
        <w:numPr>
          <w:ilvl w:val="0"/>
          <w:numId w:val="1"/>
        </w:numPr>
        <w:jc w:val="center"/>
        <w:rPr>
          <w:rFonts w:ascii="Times New Roman" w:hAnsi="Times New Roman"/>
          <w:b/>
          <w:bCs w:val="0"/>
          <w:sz w:val="20"/>
          <w:szCs w:val="20"/>
        </w:rPr>
      </w:pPr>
      <w:r w:rsidRPr="00FE16C5">
        <w:rPr>
          <w:rFonts w:ascii="Times New Roman" w:hAnsi="Times New Roman"/>
          <w:sz w:val="20"/>
          <w:szCs w:val="20"/>
        </w:rPr>
        <w:t xml:space="preserve">Penalty for Breach of the Local Rule: </w:t>
      </w:r>
      <w:r w:rsidRPr="00FE16C5">
        <w:rPr>
          <w:rFonts w:ascii="Times New Roman" w:hAnsi="Times New Roman"/>
          <w:b/>
          <w:sz w:val="20"/>
          <w:szCs w:val="20"/>
        </w:rPr>
        <w:t>DISQUALIFICATION</w:t>
      </w:r>
    </w:p>
    <w:p w:rsidR="00465366" w:rsidRPr="00FE16C5" w:rsidRDefault="00465366" w:rsidP="00465366">
      <w:pPr>
        <w:numPr>
          <w:ilvl w:val="0"/>
          <w:numId w:val="1"/>
        </w:numPr>
        <w:rPr>
          <w:rFonts w:ascii="Times New Roman" w:hAnsi="Times New Roman"/>
          <w:bCs w:val="0"/>
          <w:sz w:val="20"/>
          <w:szCs w:val="20"/>
        </w:rPr>
      </w:pPr>
      <w:r w:rsidRPr="00FE16C5">
        <w:rPr>
          <w:rFonts w:ascii="Times New Roman" w:hAnsi="Times New Roman"/>
          <w:b/>
          <w:i/>
          <w:iCs/>
          <w:sz w:val="20"/>
          <w:szCs w:val="20"/>
        </w:rPr>
        <w:t>Note:</w:t>
      </w:r>
      <w:r w:rsidRPr="00FE16C5">
        <w:rPr>
          <w:rFonts w:ascii="Times New Roman" w:hAnsi="Times New Roman"/>
          <w:sz w:val="20"/>
          <w:szCs w:val="20"/>
        </w:rPr>
        <w:t xml:space="preserve"> A suspension for a dangerous situation shall be signaled by one (1) prolonged </w:t>
      </w:r>
      <w:proofErr w:type="spellStart"/>
      <w:r w:rsidRPr="00FE16C5">
        <w:rPr>
          <w:rFonts w:ascii="Times New Roman" w:hAnsi="Times New Roman"/>
          <w:sz w:val="20"/>
          <w:szCs w:val="20"/>
        </w:rPr>
        <w:t>airhorn</w:t>
      </w:r>
      <w:proofErr w:type="spellEnd"/>
      <w:r w:rsidRPr="00FE16C5">
        <w:rPr>
          <w:rFonts w:ascii="Times New Roman" w:hAnsi="Times New Roman"/>
          <w:sz w:val="20"/>
          <w:szCs w:val="20"/>
        </w:rPr>
        <w:t xml:space="preserve"> note, repeated, and all Competitors shall be verbally informed by the Committee.  All other types of suspension shall be signaled by three (3) consecutive </w:t>
      </w:r>
      <w:proofErr w:type="spellStart"/>
      <w:r w:rsidRPr="00FE16C5">
        <w:rPr>
          <w:rFonts w:ascii="Times New Roman" w:hAnsi="Times New Roman"/>
          <w:sz w:val="20"/>
          <w:szCs w:val="20"/>
        </w:rPr>
        <w:t>airhorn</w:t>
      </w:r>
      <w:proofErr w:type="spellEnd"/>
      <w:r w:rsidRPr="00FE16C5">
        <w:rPr>
          <w:rFonts w:ascii="Times New Roman" w:hAnsi="Times New Roman"/>
          <w:sz w:val="20"/>
          <w:szCs w:val="20"/>
        </w:rPr>
        <w:t xml:space="preserve"> notes, repeated.  Resumption of play shall be signaled by two (2) short </w:t>
      </w:r>
      <w:proofErr w:type="spellStart"/>
      <w:r w:rsidRPr="00FE16C5">
        <w:rPr>
          <w:rFonts w:ascii="Times New Roman" w:hAnsi="Times New Roman"/>
          <w:sz w:val="20"/>
          <w:szCs w:val="20"/>
        </w:rPr>
        <w:t>airhorn</w:t>
      </w:r>
      <w:proofErr w:type="spellEnd"/>
      <w:r w:rsidRPr="00FE16C5">
        <w:rPr>
          <w:rFonts w:ascii="Times New Roman" w:hAnsi="Times New Roman"/>
          <w:sz w:val="20"/>
          <w:szCs w:val="20"/>
        </w:rPr>
        <w:t xml:space="preserve"> notes, repeated.  </w:t>
      </w:r>
    </w:p>
    <w:p w:rsidR="00465366" w:rsidRPr="00FE16C5" w:rsidRDefault="00465366" w:rsidP="00465366">
      <w:pPr>
        <w:tabs>
          <w:tab w:val="left" w:pos="3060"/>
          <w:tab w:val="left" w:pos="3240"/>
        </w:tabs>
        <w:rPr>
          <w:rFonts w:ascii="Times New Roman" w:hAnsi="Times New Roman"/>
          <w:sz w:val="20"/>
          <w:szCs w:val="20"/>
        </w:rPr>
      </w:pPr>
    </w:p>
    <w:p w:rsidR="001C2ACB" w:rsidRPr="00FE16C5" w:rsidRDefault="00465366" w:rsidP="007362F2">
      <w:pPr>
        <w:tabs>
          <w:tab w:val="left" w:pos="3060"/>
          <w:tab w:val="left" w:pos="3240"/>
        </w:tabs>
        <w:rPr>
          <w:rFonts w:ascii="Times New Roman" w:hAnsi="Times New Roman"/>
          <w:sz w:val="20"/>
          <w:szCs w:val="20"/>
        </w:rPr>
      </w:pPr>
      <w:r w:rsidRPr="00FE16C5">
        <w:rPr>
          <w:rFonts w:ascii="Times New Roman" w:hAnsi="Times New Roman"/>
          <w:sz w:val="20"/>
          <w:szCs w:val="20"/>
        </w:rPr>
        <w:t xml:space="preserve"> </w:t>
      </w:r>
      <w:r w:rsidRPr="00FE16C5">
        <w:rPr>
          <w:rFonts w:ascii="Times New Roman" w:hAnsi="Times New Roman"/>
          <w:b/>
          <w:noProof/>
          <w:sz w:val="20"/>
          <w:szCs w:val="20"/>
          <w:u w:val="single"/>
        </w:rPr>
        <w:t>Cellular Phone Use</w:t>
      </w:r>
      <w:r w:rsidRPr="00FE16C5">
        <w:rPr>
          <w:rFonts w:ascii="Times New Roman" w:hAnsi="Times New Roman"/>
          <w:b/>
          <w:noProof/>
          <w:sz w:val="20"/>
          <w:szCs w:val="20"/>
        </w:rPr>
        <w:t>:</w:t>
      </w:r>
      <w:r w:rsidRPr="00FE16C5">
        <w:rPr>
          <w:rFonts w:ascii="Times New Roman" w:hAnsi="Times New Roman"/>
          <w:noProof/>
          <w:sz w:val="20"/>
          <w:szCs w:val="20"/>
        </w:rPr>
        <w:t xml:space="preserve">  The use of portable telecommunications equipment is strictly </w:t>
      </w:r>
      <w:r w:rsidRPr="00FE16C5">
        <w:rPr>
          <w:rFonts w:ascii="Times New Roman" w:hAnsi="Times New Roman"/>
          <w:b/>
          <w:noProof/>
          <w:sz w:val="20"/>
          <w:szCs w:val="20"/>
        </w:rPr>
        <w:t>prohibited</w:t>
      </w:r>
      <w:r w:rsidRPr="00FE16C5">
        <w:rPr>
          <w:rFonts w:ascii="Times New Roman" w:hAnsi="Times New Roman"/>
          <w:noProof/>
          <w:sz w:val="20"/>
          <w:szCs w:val="20"/>
        </w:rPr>
        <w:t xml:space="preserve">.  Breach of this condition </w:t>
      </w:r>
      <w:r w:rsidRPr="00FE16C5">
        <w:rPr>
          <w:rFonts w:ascii="Times New Roman" w:hAnsi="Times New Roman"/>
          <w:b/>
          <w:noProof/>
          <w:sz w:val="20"/>
          <w:szCs w:val="20"/>
        </w:rPr>
        <w:t>1</w:t>
      </w:r>
      <w:r w:rsidRPr="00FE16C5">
        <w:rPr>
          <w:rFonts w:ascii="Times New Roman" w:hAnsi="Times New Roman"/>
          <w:b/>
          <w:noProof/>
          <w:sz w:val="20"/>
          <w:szCs w:val="20"/>
          <w:vertAlign w:val="superscript"/>
        </w:rPr>
        <w:t>st</w:t>
      </w:r>
      <w:r w:rsidRPr="00FE16C5">
        <w:rPr>
          <w:rFonts w:ascii="Times New Roman" w:hAnsi="Times New Roman"/>
          <w:b/>
          <w:noProof/>
          <w:sz w:val="20"/>
          <w:szCs w:val="20"/>
        </w:rPr>
        <w:t xml:space="preserve"> offense-Warning 2</w:t>
      </w:r>
      <w:r w:rsidRPr="00FE16C5">
        <w:rPr>
          <w:rFonts w:ascii="Times New Roman" w:hAnsi="Times New Roman"/>
          <w:b/>
          <w:noProof/>
          <w:sz w:val="20"/>
          <w:szCs w:val="20"/>
          <w:vertAlign w:val="superscript"/>
        </w:rPr>
        <w:t>nd</w:t>
      </w:r>
      <w:r w:rsidRPr="00FE16C5">
        <w:rPr>
          <w:rFonts w:ascii="Times New Roman" w:hAnsi="Times New Roman"/>
          <w:b/>
          <w:noProof/>
          <w:sz w:val="20"/>
          <w:szCs w:val="20"/>
        </w:rPr>
        <w:t xml:space="preserve"> offense-Disqualification</w:t>
      </w:r>
    </w:p>
    <w:sectPr w:rsidR="001C2ACB" w:rsidRPr="00FE16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A555A"/>
    <w:multiLevelType w:val="hybridMultilevel"/>
    <w:tmpl w:val="228CB2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CF0773D"/>
    <w:multiLevelType w:val="hybridMultilevel"/>
    <w:tmpl w:val="DF0084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366"/>
    <w:rsid w:val="0006556B"/>
    <w:rsid w:val="001240D6"/>
    <w:rsid w:val="001C2ACB"/>
    <w:rsid w:val="00465366"/>
    <w:rsid w:val="007362F2"/>
    <w:rsid w:val="00FE1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66"/>
    <w:pPr>
      <w:spacing w:after="0" w:line="240" w:lineRule="auto"/>
    </w:pPr>
    <w:rPr>
      <w:rFonts w:ascii="Tahoma" w:eastAsia="Times New Roman" w:hAnsi="Tahoma"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0D6"/>
    <w:rPr>
      <w:rFonts w:cs="Tahoma"/>
      <w:sz w:val="16"/>
      <w:szCs w:val="16"/>
    </w:rPr>
  </w:style>
  <w:style w:type="character" w:customStyle="1" w:styleId="BalloonTextChar">
    <w:name w:val="Balloon Text Char"/>
    <w:basedOn w:val="DefaultParagraphFont"/>
    <w:link w:val="BalloonText"/>
    <w:uiPriority w:val="99"/>
    <w:semiHidden/>
    <w:rsid w:val="001240D6"/>
    <w:rPr>
      <w:rFonts w:ascii="Tahoma" w:eastAsia="Times New Roman" w:hAnsi="Tahoma" w:cs="Tahoma"/>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66"/>
    <w:pPr>
      <w:spacing w:after="0" w:line="240" w:lineRule="auto"/>
    </w:pPr>
    <w:rPr>
      <w:rFonts w:ascii="Tahoma" w:eastAsia="Times New Roman" w:hAnsi="Tahoma"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0D6"/>
    <w:rPr>
      <w:rFonts w:cs="Tahoma"/>
      <w:sz w:val="16"/>
      <w:szCs w:val="16"/>
    </w:rPr>
  </w:style>
  <w:style w:type="character" w:customStyle="1" w:styleId="BalloonTextChar">
    <w:name w:val="Balloon Text Char"/>
    <w:basedOn w:val="DefaultParagraphFont"/>
    <w:link w:val="BalloonText"/>
    <w:uiPriority w:val="99"/>
    <w:semiHidden/>
    <w:rsid w:val="001240D6"/>
    <w:rPr>
      <w:rFonts w:ascii="Tahoma" w:eastAsia="Times New Roman"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19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2014-05-07T18:59:00Z</dcterms:created>
  <dcterms:modified xsi:type="dcterms:W3CDTF">2014-05-09T14:11:00Z</dcterms:modified>
</cp:coreProperties>
</file>